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85" w:rsidRDefault="00825BA5" w:rsidP="00512308">
      <w:pPr>
        <w:jc w:val="both"/>
        <w:rPr>
          <w:b/>
        </w:rPr>
      </w:pPr>
      <w:r w:rsidRPr="000B1FE1">
        <w:rPr>
          <w:b/>
        </w:rPr>
        <w:t>PODUZETNIČKI IMPULS 201</w:t>
      </w:r>
      <w:r w:rsidR="009619EB">
        <w:rPr>
          <w:b/>
        </w:rPr>
        <w:t>5</w:t>
      </w:r>
      <w:r w:rsidR="001106C0">
        <w:rPr>
          <w:b/>
        </w:rPr>
        <w:t>.</w:t>
      </w:r>
    </w:p>
    <w:p w:rsidR="00C24985" w:rsidRDefault="00512308" w:rsidP="00512308">
      <w:pPr>
        <w:jc w:val="both"/>
        <w:rPr>
          <w:sz w:val="20"/>
          <w:szCs w:val="20"/>
        </w:rPr>
      </w:pPr>
      <w:r w:rsidRPr="00A9088F">
        <w:rPr>
          <w:sz w:val="20"/>
          <w:szCs w:val="20"/>
        </w:rPr>
        <w:t xml:space="preserve">Ministarstvo poduzetništva i obrta objavilo je </w:t>
      </w:r>
      <w:r w:rsidR="009619EB">
        <w:rPr>
          <w:sz w:val="20"/>
          <w:szCs w:val="20"/>
        </w:rPr>
        <w:t>7</w:t>
      </w:r>
      <w:r w:rsidRPr="00A9088F">
        <w:rPr>
          <w:sz w:val="20"/>
          <w:szCs w:val="20"/>
        </w:rPr>
        <w:t xml:space="preserve">. </w:t>
      </w:r>
      <w:r w:rsidR="009619EB">
        <w:rPr>
          <w:sz w:val="20"/>
          <w:szCs w:val="20"/>
        </w:rPr>
        <w:t>3</w:t>
      </w:r>
      <w:r w:rsidRPr="00A9088F">
        <w:rPr>
          <w:sz w:val="20"/>
          <w:szCs w:val="20"/>
        </w:rPr>
        <w:t>. 201</w:t>
      </w:r>
      <w:r w:rsidR="009619EB">
        <w:rPr>
          <w:sz w:val="20"/>
          <w:szCs w:val="20"/>
        </w:rPr>
        <w:t>5</w:t>
      </w:r>
      <w:r w:rsidRPr="00A9088F">
        <w:rPr>
          <w:sz w:val="20"/>
          <w:szCs w:val="20"/>
        </w:rPr>
        <w:t>. javne pozive u sklopu Programa poticanja poduzetništva i obrta - Poduzetnički impuls za 201</w:t>
      </w:r>
      <w:r w:rsidR="009619EB">
        <w:rPr>
          <w:sz w:val="20"/>
          <w:szCs w:val="20"/>
        </w:rPr>
        <w:t>5</w:t>
      </w:r>
      <w:r w:rsidRPr="00A9088F">
        <w:rPr>
          <w:sz w:val="20"/>
          <w:szCs w:val="20"/>
        </w:rPr>
        <w:t xml:space="preserve">. </w:t>
      </w:r>
      <w:r w:rsidR="00C24985" w:rsidRPr="00A9088F">
        <w:rPr>
          <w:sz w:val="20"/>
          <w:szCs w:val="20"/>
        </w:rPr>
        <w:t>G</w:t>
      </w:r>
      <w:r w:rsidRPr="00A9088F">
        <w:rPr>
          <w:sz w:val="20"/>
          <w:szCs w:val="20"/>
        </w:rPr>
        <w:t>odinu</w:t>
      </w:r>
      <w:r w:rsidR="00C24985">
        <w:rPr>
          <w:sz w:val="20"/>
          <w:szCs w:val="20"/>
        </w:rPr>
        <w:t>.</w:t>
      </w:r>
    </w:p>
    <w:p w:rsidR="00512308" w:rsidRPr="00A9088F" w:rsidRDefault="00C24985" w:rsidP="00776D20">
      <w:pPr>
        <w:jc w:val="both"/>
        <w:rPr>
          <w:sz w:val="20"/>
          <w:szCs w:val="20"/>
        </w:rPr>
      </w:pPr>
      <w:r w:rsidRPr="00C24985">
        <w:rPr>
          <w:sz w:val="20"/>
          <w:szCs w:val="20"/>
        </w:rPr>
        <w:t>Prvo Programsko područje</w:t>
      </w:r>
      <w:r>
        <w:rPr>
          <w:sz w:val="20"/>
          <w:szCs w:val="20"/>
        </w:rPr>
        <w:t xml:space="preserve"> - A</w:t>
      </w:r>
      <w:r w:rsidRPr="00C24985">
        <w:rPr>
          <w:sz w:val="20"/>
          <w:szCs w:val="20"/>
        </w:rPr>
        <w:t xml:space="preserve">KTIVNOST: </w:t>
      </w:r>
      <w:r w:rsidR="00776D20" w:rsidRPr="00776D20">
        <w:rPr>
          <w:sz w:val="20"/>
          <w:szCs w:val="20"/>
        </w:rPr>
        <w:t>Jačanje konkurentnosti uslužnih djelatnosti</w:t>
      </w:r>
    </w:p>
    <w:tbl>
      <w:tblPr>
        <w:tblStyle w:val="Reetkatablice"/>
        <w:tblW w:w="10314" w:type="dxa"/>
        <w:tblLayout w:type="fixed"/>
        <w:tblLook w:val="04A0"/>
      </w:tblPr>
      <w:tblGrid>
        <w:gridCol w:w="1384"/>
        <w:gridCol w:w="8930"/>
      </w:tblGrid>
      <w:tr w:rsidR="00445FB4" w:rsidRPr="00A9088F" w:rsidTr="00F10236">
        <w:tc>
          <w:tcPr>
            <w:tcW w:w="1384" w:type="dxa"/>
          </w:tcPr>
          <w:p w:rsidR="00445FB4" w:rsidRPr="00A9088F" w:rsidRDefault="00445FB4" w:rsidP="001531EC">
            <w:pPr>
              <w:jc w:val="both"/>
              <w:rPr>
                <w:b/>
                <w:sz w:val="20"/>
                <w:szCs w:val="20"/>
              </w:rPr>
            </w:pPr>
            <w:r w:rsidRPr="00A9088F">
              <w:rPr>
                <w:b/>
                <w:sz w:val="20"/>
                <w:szCs w:val="20"/>
              </w:rPr>
              <w:t>Predmet Javnog poziva</w:t>
            </w:r>
          </w:p>
        </w:tc>
        <w:tc>
          <w:tcPr>
            <w:tcW w:w="8930" w:type="dxa"/>
          </w:tcPr>
          <w:p w:rsidR="00445FB4" w:rsidRPr="00A9088F" w:rsidRDefault="00673485" w:rsidP="00961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73485">
              <w:rPr>
                <w:sz w:val="20"/>
                <w:szCs w:val="20"/>
              </w:rPr>
              <w:t>odjela bespovratnih sredstava Hrvatske agencije za malo gospodarstvo, inovacije i investicije (u daljnjem tekstu: HAMAG-BICRO) za Jačanje konkurentnosti uslužnih djelatnosti.</w:t>
            </w:r>
          </w:p>
        </w:tc>
      </w:tr>
      <w:tr w:rsidR="00445FB4" w:rsidRPr="00A9088F" w:rsidTr="00F10236">
        <w:tc>
          <w:tcPr>
            <w:tcW w:w="1384" w:type="dxa"/>
          </w:tcPr>
          <w:p w:rsidR="00445FB4" w:rsidRPr="00A9088F" w:rsidRDefault="00445FB4" w:rsidP="00445FB4">
            <w:pPr>
              <w:jc w:val="both"/>
              <w:rPr>
                <w:b/>
                <w:sz w:val="20"/>
                <w:szCs w:val="20"/>
              </w:rPr>
            </w:pPr>
            <w:r w:rsidRPr="00A9088F">
              <w:rPr>
                <w:b/>
                <w:sz w:val="20"/>
                <w:szCs w:val="20"/>
              </w:rPr>
              <w:t xml:space="preserve">Prioritet </w:t>
            </w:r>
          </w:p>
        </w:tc>
        <w:tc>
          <w:tcPr>
            <w:tcW w:w="8930" w:type="dxa"/>
          </w:tcPr>
          <w:p w:rsidR="00445FB4" w:rsidRPr="00A9088F" w:rsidRDefault="00673485" w:rsidP="001531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673485">
              <w:rPr>
                <w:sz w:val="20"/>
                <w:szCs w:val="20"/>
              </w:rPr>
              <w:t>ačanje konkurentnosti mikro gospodarskih subjekta i poticanje njihovog rasta kroz ciljanu potporu razvojnim ulaganjima.</w:t>
            </w:r>
          </w:p>
        </w:tc>
      </w:tr>
      <w:tr w:rsidR="00445FB4" w:rsidRPr="00A9088F" w:rsidTr="00F10236">
        <w:tc>
          <w:tcPr>
            <w:tcW w:w="1384" w:type="dxa"/>
          </w:tcPr>
          <w:p w:rsidR="00445FB4" w:rsidRPr="00A9088F" w:rsidRDefault="00445FB4" w:rsidP="001531EC">
            <w:pPr>
              <w:jc w:val="both"/>
              <w:rPr>
                <w:b/>
                <w:sz w:val="20"/>
                <w:szCs w:val="20"/>
              </w:rPr>
            </w:pPr>
            <w:r w:rsidRPr="00A9088F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8930" w:type="dxa"/>
          </w:tcPr>
          <w:p w:rsidR="00673485" w:rsidRPr="00673485" w:rsidRDefault="00673485" w:rsidP="00673485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73485">
              <w:rPr>
                <w:sz w:val="20"/>
                <w:szCs w:val="20"/>
              </w:rPr>
              <w:t>Povećanje učinkovitosti poslovanja mikro gospodarskih subjekata</w:t>
            </w:r>
          </w:p>
          <w:p w:rsidR="00673485" w:rsidRPr="00673485" w:rsidRDefault="00673485" w:rsidP="00673485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73485">
              <w:rPr>
                <w:sz w:val="20"/>
                <w:szCs w:val="20"/>
              </w:rPr>
              <w:t>Jačanje tehnološke baze mikro gospodarskih subjekata</w:t>
            </w:r>
          </w:p>
          <w:p w:rsidR="00673485" w:rsidRPr="00673485" w:rsidRDefault="00673485" w:rsidP="00673485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73485">
              <w:rPr>
                <w:sz w:val="20"/>
                <w:szCs w:val="20"/>
              </w:rPr>
              <w:t>Poboljšanje pružanja usluga kroz modernizaciju poslovnog procesa</w:t>
            </w:r>
          </w:p>
          <w:p w:rsidR="00673485" w:rsidRPr="00673485" w:rsidRDefault="00673485" w:rsidP="00673485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73485">
              <w:rPr>
                <w:sz w:val="20"/>
                <w:szCs w:val="20"/>
              </w:rPr>
              <w:t>Poticanje razvoja mikro gospodarskih subjekta i njihov rast u male gospodarske subjekte</w:t>
            </w:r>
          </w:p>
          <w:p w:rsidR="00673485" w:rsidRPr="00673485" w:rsidRDefault="00673485" w:rsidP="00673485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73485">
              <w:rPr>
                <w:sz w:val="20"/>
                <w:szCs w:val="20"/>
              </w:rPr>
              <w:t>Poticanje poduzetništva ciljnih skupina – žena poduzetnica, poduzetnika početnika, romske nacionalne manjine, osoba s invaliditetom te poduzetnika u potpomognutim područjima</w:t>
            </w:r>
          </w:p>
          <w:p w:rsidR="00445FB4" w:rsidRPr="00A9088F" w:rsidRDefault="00673485" w:rsidP="00673485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73485">
              <w:rPr>
                <w:sz w:val="20"/>
                <w:szCs w:val="20"/>
              </w:rPr>
              <w:t>Otvaranje novih radnih mjesta i zadržavanje postojećih</w:t>
            </w:r>
          </w:p>
        </w:tc>
      </w:tr>
      <w:tr w:rsidR="00445FB4" w:rsidRPr="00A9088F" w:rsidTr="00F10236">
        <w:tc>
          <w:tcPr>
            <w:tcW w:w="1384" w:type="dxa"/>
          </w:tcPr>
          <w:p w:rsidR="00445FB4" w:rsidRPr="00A9088F" w:rsidRDefault="009619EB" w:rsidP="00961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Ukupni i</w:t>
            </w:r>
            <w:r w:rsidR="007B52AE" w:rsidRPr="00A9088F">
              <w:rPr>
                <w:b/>
                <w:sz w:val="20"/>
                <w:szCs w:val="20"/>
              </w:rPr>
              <w:t>znos sredstava</w:t>
            </w:r>
          </w:p>
        </w:tc>
        <w:tc>
          <w:tcPr>
            <w:tcW w:w="8930" w:type="dxa"/>
          </w:tcPr>
          <w:p w:rsidR="00445FB4" w:rsidRPr="00A9088F" w:rsidRDefault="00634D27" w:rsidP="00961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55D12" w:rsidRPr="00A9088F">
              <w:rPr>
                <w:sz w:val="20"/>
                <w:szCs w:val="20"/>
              </w:rPr>
              <w:t>.000.000,00 kn</w:t>
            </w:r>
          </w:p>
        </w:tc>
      </w:tr>
      <w:tr w:rsidR="00445FB4" w:rsidRPr="00A9088F" w:rsidTr="00F10236">
        <w:tc>
          <w:tcPr>
            <w:tcW w:w="1384" w:type="dxa"/>
          </w:tcPr>
          <w:p w:rsidR="00445FB4" w:rsidRPr="00A9088F" w:rsidRDefault="00255D12" w:rsidP="00A9088F">
            <w:pPr>
              <w:jc w:val="both"/>
              <w:rPr>
                <w:b/>
                <w:sz w:val="20"/>
                <w:szCs w:val="20"/>
              </w:rPr>
            </w:pPr>
            <w:r w:rsidRPr="00A9088F">
              <w:rPr>
                <w:b/>
                <w:sz w:val="20"/>
                <w:szCs w:val="20"/>
              </w:rPr>
              <w:t xml:space="preserve">Davatelj </w:t>
            </w:r>
          </w:p>
        </w:tc>
        <w:tc>
          <w:tcPr>
            <w:tcW w:w="8930" w:type="dxa"/>
          </w:tcPr>
          <w:p w:rsidR="000B0CE9" w:rsidRDefault="00634D27" w:rsidP="000B0CE9">
            <w:pPr>
              <w:jc w:val="both"/>
              <w:rPr>
                <w:sz w:val="20"/>
                <w:szCs w:val="20"/>
              </w:rPr>
            </w:pPr>
            <w:r w:rsidRPr="00634D27">
              <w:rPr>
                <w:sz w:val="20"/>
                <w:szCs w:val="20"/>
              </w:rPr>
              <w:t>HAMAG-BICRO</w:t>
            </w:r>
            <w:r w:rsidR="000B0CE9">
              <w:rPr>
                <w:sz w:val="20"/>
                <w:szCs w:val="20"/>
              </w:rPr>
              <w:t xml:space="preserve">: </w:t>
            </w:r>
          </w:p>
          <w:p w:rsidR="00445FB4" w:rsidRPr="00A9088F" w:rsidRDefault="00652EA9" w:rsidP="000B0CE9">
            <w:pPr>
              <w:jc w:val="both"/>
              <w:rPr>
                <w:sz w:val="20"/>
                <w:szCs w:val="20"/>
              </w:rPr>
            </w:pPr>
            <w:hyperlink r:id="rId6" w:history="1">
              <w:r w:rsidR="00634D27" w:rsidRPr="00A52018">
                <w:rPr>
                  <w:rStyle w:val="Hiperveza"/>
                </w:rPr>
                <w:t>http://www.hamagbicro.hr/potpore/otvoreni-javni-pozivi-2/jacanje-konkurentnosti-usluznih-djelatnosti/</w:t>
              </w:r>
            </w:hyperlink>
            <w:r w:rsidR="00634D27">
              <w:t xml:space="preserve"> </w:t>
            </w:r>
          </w:p>
        </w:tc>
      </w:tr>
      <w:tr w:rsidR="00E76D92" w:rsidRPr="00A9088F" w:rsidTr="00E76D92">
        <w:tc>
          <w:tcPr>
            <w:tcW w:w="1384" w:type="dxa"/>
          </w:tcPr>
          <w:p w:rsidR="00E76D92" w:rsidRDefault="00E76D92" w:rsidP="009405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dostave</w:t>
            </w:r>
          </w:p>
        </w:tc>
        <w:tc>
          <w:tcPr>
            <w:tcW w:w="8930" w:type="dxa"/>
          </w:tcPr>
          <w:p w:rsidR="00634D27" w:rsidRPr="00634D27" w:rsidRDefault="00634D27" w:rsidP="00634D27">
            <w:pPr>
              <w:jc w:val="both"/>
              <w:rPr>
                <w:sz w:val="20"/>
                <w:szCs w:val="20"/>
              </w:rPr>
            </w:pPr>
            <w:r w:rsidRPr="00634D27">
              <w:rPr>
                <w:sz w:val="20"/>
                <w:szCs w:val="20"/>
              </w:rPr>
              <w:t>HRVATSKA AGENCIJA ZA MALO GOSPODARSTVO, INOVACIJE I INVESTICIJE</w:t>
            </w:r>
          </w:p>
          <w:p w:rsidR="00634D27" w:rsidRPr="00634D27" w:rsidRDefault="00634D27" w:rsidP="00634D27">
            <w:pPr>
              <w:jc w:val="both"/>
              <w:rPr>
                <w:sz w:val="20"/>
                <w:szCs w:val="20"/>
              </w:rPr>
            </w:pPr>
            <w:r w:rsidRPr="00634D27">
              <w:rPr>
                <w:sz w:val="20"/>
                <w:szCs w:val="20"/>
              </w:rPr>
              <w:t>„Prijava na Javni poziv“ –</w:t>
            </w:r>
            <w:r>
              <w:rPr>
                <w:sz w:val="20"/>
                <w:szCs w:val="20"/>
              </w:rPr>
              <w:t xml:space="preserve"> </w:t>
            </w:r>
            <w:r w:rsidRPr="00634D27">
              <w:rPr>
                <w:sz w:val="20"/>
                <w:szCs w:val="20"/>
              </w:rPr>
              <w:t>Jačanje konkurentnosti uslužnih djelatnosti</w:t>
            </w:r>
          </w:p>
          <w:p w:rsidR="00634D27" w:rsidRPr="00634D27" w:rsidRDefault="00634D27" w:rsidP="00634D27">
            <w:pPr>
              <w:jc w:val="both"/>
              <w:rPr>
                <w:sz w:val="20"/>
                <w:szCs w:val="20"/>
              </w:rPr>
            </w:pPr>
            <w:r w:rsidRPr="00634D27">
              <w:rPr>
                <w:sz w:val="20"/>
                <w:szCs w:val="20"/>
              </w:rPr>
              <w:t xml:space="preserve">Prilaz </w:t>
            </w:r>
            <w:proofErr w:type="spellStart"/>
            <w:r w:rsidRPr="00634D27">
              <w:rPr>
                <w:sz w:val="20"/>
                <w:szCs w:val="20"/>
              </w:rPr>
              <w:t>Gjure</w:t>
            </w:r>
            <w:proofErr w:type="spellEnd"/>
            <w:r w:rsidRPr="00634D27">
              <w:rPr>
                <w:sz w:val="20"/>
                <w:szCs w:val="20"/>
              </w:rPr>
              <w:t xml:space="preserve"> </w:t>
            </w:r>
            <w:proofErr w:type="spellStart"/>
            <w:r w:rsidRPr="00634D27">
              <w:rPr>
                <w:sz w:val="20"/>
                <w:szCs w:val="20"/>
              </w:rPr>
              <w:t>Deželića</w:t>
            </w:r>
            <w:proofErr w:type="spellEnd"/>
            <w:r w:rsidRPr="00634D27">
              <w:rPr>
                <w:sz w:val="20"/>
                <w:szCs w:val="20"/>
              </w:rPr>
              <w:t xml:space="preserve"> 7</w:t>
            </w:r>
          </w:p>
          <w:p w:rsidR="00E76D92" w:rsidRDefault="00634D27" w:rsidP="00634D27">
            <w:pPr>
              <w:jc w:val="both"/>
              <w:rPr>
                <w:b/>
                <w:sz w:val="20"/>
                <w:szCs w:val="20"/>
              </w:rPr>
            </w:pPr>
            <w:r w:rsidRPr="00634D27">
              <w:rPr>
                <w:sz w:val="20"/>
                <w:szCs w:val="20"/>
              </w:rPr>
              <w:t>10000 ZAGREB</w:t>
            </w:r>
          </w:p>
        </w:tc>
      </w:tr>
      <w:tr w:rsidR="00E76D92" w:rsidRPr="00A9088F" w:rsidTr="00E76D92">
        <w:tc>
          <w:tcPr>
            <w:tcW w:w="1384" w:type="dxa"/>
          </w:tcPr>
          <w:p w:rsidR="00E76D92" w:rsidRDefault="00E76D92" w:rsidP="009405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prijave</w:t>
            </w:r>
          </w:p>
        </w:tc>
        <w:tc>
          <w:tcPr>
            <w:tcW w:w="8930" w:type="dxa"/>
          </w:tcPr>
          <w:p w:rsidR="00E76D92" w:rsidRPr="00CE2754" w:rsidRDefault="000B0CE9" w:rsidP="00A36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30.03.2015., </w:t>
            </w:r>
            <w:r w:rsidRPr="000B0CE9">
              <w:rPr>
                <w:sz w:val="20"/>
                <w:szCs w:val="20"/>
              </w:rPr>
              <w:t xml:space="preserve">do </w:t>
            </w:r>
            <w:r w:rsidR="00A36D5B">
              <w:rPr>
                <w:sz w:val="20"/>
                <w:szCs w:val="20"/>
              </w:rPr>
              <w:t xml:space="preserve">13. 4. 2015. </w:t>
            </w:r>
          </w:p>
        </w:tc>
      </w:tr>
      <w:tr w:rsidR="00445FB4" w:rsidRPr="00A9088F" w:rsidTr="00F10236">
        <w:tc>
          <w:tcPr>
            <w:tcW w:w="1384" w:type="dxa"/>
          </w:tcPr>
          <w:p w:rsidR="00445FB4" w:rsidRPr="00A9088F" w:rsidRDefault="001531EC" w:rsidP="001531EC">
            <w:pPr>
              <w:jc w:val="both"/>
              <w:rPr>
                <w:b/>
                <w:sz w:val="20"/>
                <w:szCs w:val="20"/>
              </w:rPr>
            </w:pPr>
            <w:r w:rsidRPr="00A9088F">
              <w:rPr>
                <w:b/>
                <w:sz w:val="20"/>
                <w:szCs w:val="20"/>
              </w:rPr>
              <w:t>Prihvatljivi korisnici</w:t>
            </w:r>
          </w:p>
        </w:tc>
        <w:tc>
          <w:tcPr>
            <w:tcW w:w="8930" w:type="dxa"/>
          </w:tcPr>
          <w:p w:rsidR="006E3F3B" w:rsidRPr="006E3F3B" w:rsidRDefault="006E3F3B" w:rsidP="006E3F3B">
            <w:pPr>
              <w:jc w:val="both"/>
              <w:rPr>
                <w:sz w:val="20"/>
                <w:szCs w:val="20"/>
              </w:rPr>
            </w:pPr>
            <w:r w:rsidRPr="006E3F3B">
              <w:rPr>
                <w:sz w:val="20"/>
                <w:szCs w:val="20"/>
              </w:rPr>
              <w:t>Mikro poduzetnici:</w:t>
            </w:r>
          </w:p>
          <w:p w:rsidR="006E3F3B" w:rsidRPr="006E3F3B" w:rsidRDefault="006E3F3B" w:rsidP="006E3F3B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6E3F3B">
              <w:rPr>
                <w:sz w:val="20"/>
                <w:szCs w:val="20"/>
              </w:rPr>
              <w:t>čiji su ukupni prihvatljivi troškovi projekta niži ili jednaki ukupnoj vrijednosti dugotrajne imovine na dan 31.12.2014. godine (za obveznike poreza na dobit dugotrajna imovina evidentirana u GFI-u za 2014. godinu, a kod obveznika poreza na dohodak u popisu dugotrajne imovine za 2014. godinu), osim za poduzetnike početnike</w:t>
            </w:r>
          </w:p>
          <w:p w:rsidR="006E3F3B" w:rsidRPr="006E3F3B" w:rsidRDefault="006E3F3B" w:rsidP="006E3F3B">
            <w:pPr>
              <w:jc w:val="both"/>
              <w:rPr>
                <w:sz w:val="20"/>
                <w:szCs w:val="20"/>
              </w:rPr>
            </w:pPr>
            <w:r w:rsidRPr="006E3F3B">
              <w:rPr>
                <w:sz w:val="20"/>
                <w:szCs w:val="20"/>
              </w:rPr>
              <w:t>Koji su prema Odluci o Nacionalnoj klasifikaciji djelatnosti NKD2007 (NN 58/07 i 72/07) registrirani za područja:</w:t>
            </w:r>
          </w:p>
          <w:p w:rsidR="006E3F3B" w:rsidRPr="006E3F3B" w:rsidRDefault="006E3F3B" w:rsidP="006E3F3B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6E3F3B">
              <w:rPr>
                <w:sz w:val="20"/>
                <w:szCs w:val="20"/>
              </w:rPr>
              <w:t>E (Opskrba vodom; Uklanjanje otpadnih voda, gospodarenje otpadom te djelatnosti sanacije okoliša), Odjeljak 36-39</w:t>
            </w:r>
          </w:p>
          <w:p w:rsidR="006E3F3B" w:rsidRPr="006E3F3B" w:rsidRDefault="006E3F3B" w:rsidP="006E3F3B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6E3F3B">
              <w:rPr>
                <w:sz w:val="20"/>
                <w:szCs w:val="20"/>
              </w:rPr>
              <w:t>Skupina 45.2 (Održavanje i popravak motornih vozila)</w:t>
            </w:r>
          </w:p>
          <w:p w:rsidR="006E3F3B" w:rsidRPr="006E3F3B" w:rsidRDefault="006E3F3B" w:rsidP="006E3F3B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6E3F3B">
              <w:rPr>
                <w:sz w:val="20"/>
                <w:szCs w:val="20"/>
              </w:rPr>
              <w:t>Područje I (Djelatnost pružanja smještaja te pripreme i usluživanja hrane), osim Skupine 56.3 (Djelatnosti pripreme i usluživanja pića) iz Odjeljka 56</w:t>
            </w:r>
          </w:p>
          <w:p w:rsidR="006E3F3B" w:rsidRPr="006E3F3B" w:rsidRDefault="006E3F3B" w:rsidP="006E3F3B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6E3F3B">
              <w:rPr>
                <w:sz w:val="20"/>
                <w:szCs w:val="20"/>
              </w:rPr>
              <w:t>J (Informacije i komunikacije)</w:t>
            </w:r>
          </w:p>
          <w:p w:rsidR="006E3F3B" w:rsidRPr="006E3F3B" w:rsidRDefault="006E3F3B" w:rsidP="006E3F3B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6E3F3B">
              <w:rPr>
                <w:sz w:val="20"/>
                <w:szCs w:val="20"/>
              </w:rPr>
              <w:t>N (Administrativne i pomoćne uslužne djelatnosti)</w:t>
            </w:r>
          </w:p>
          <w:p w:rsidR="006E3F3B" w:rsidRPr="006E3F3B" w:rsidRDefault="006E3F3B" w:rsidP="006E3F3B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6E3F3B">
              <w:rPr>
                <w:sz w:val="20"/>
                <w:szCs w:val="20"/>
              </w:rPr>
              <w:t>P (Obrazovanje)</w:t>
            </w:r>
          </w:p>
          <w:p w:rsidR="006E3F3B" w:rsidRPr="006E3F3B" w:rsidRDefault="006E3F3B" w:rsidP="006E3F3B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6E3F3B">
              <w:rPr>
                <w:sz w:val="20"/>
                <w:szCs w:val="20"/>
              </w:rPr>
              <w:t>Q (Djelatnosti zdravstvene zaštite i socijalne skrbi)</w:t>
            </w:r>
          </w:p>
          <w:p w:rsidR="005B23CA" w:rsidRDefault="006E3F3B" w:rsidP="006E3F3B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6E3F3B">
              <w:rPr>
                <w:sz w:val="20"/>
                <w:szCs w:val="20"/>
              </w:rPr>
              <w:t>S (Ostale uslužne djelatnosti)</w:t>
            </w:r>
          </w:p>
          <w:p w:rsidR="006E3F3B" w:rsidRPr="006E3F3B" w:rsidRDefault="006E3F3B" w:rsidP="006E3F3B">
            <w:pPr>
              <w:ind w:left="360"/>
              <w:jc w:val="both"/>
              <w:rPr>
                <w:i/>
                <w:sz w:val="20"/>
                <w:szCs w:val="20"/>
                <w:u w:val="single"/>
              </w:rPr>
            </w:pPr>
            <w:r w:rsidRPr="006E3F3B">
              <w:rPr>
                <w:i/>
                <w:sz w:val="20"/>
                <w:szCs w:val="20"/>
                <w:u w:val="single"/>
              </w:rPr>
              <w:t>Projektni prijedlog mora se odnositi na jednu od prihvatljivih djelatnosti.</w:t>
            </w:r>
          </w:p>
          <w:p w:rsidR="006E3F3B" w:rsidRPr="006E3F3B" w:rsidRDefault="006E3F3B" w:rsidP="006E3F3B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6E3F3B">
              <w:rPr>
                <w:sz w:val="20"/>
                <w:szCs w:val="20"/>
              </w:rPr>
              <w:t>koji imaju sjedište na području Republike Hrvatske</w:t>
            </w:r>
          </w:p>
          <w:p w:rsidR="006E3F3B" w:rsidRPr="006E3F3B" w:rsidRDefault="006E3F3B" w:rsidP="006E3F3B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6E3F3B">
              <w:rPr>
                <w:sz w:val="20"/>
                <w:szCs w:val="20"/>
              </w:rPr>
              <w:t>koji su pozitivno poslovali u 2014. godini, odnosno koji sukladno zadnjem financijskom izvješću nisu u gubitku (za obveznike poreza na dobit dokazuje se GFI-em za 2014. godinu, a za obveznike poreza na dohodak preslikom Prijave poreza na dohodak za 2014. godinu), osim poduzetnika početnika</w:t>
            </w:r>
          </w:p>
          <w:p w:rsidR="006E3F3B" w:rsidRPr="006E3F3B" w:rsidRDefault="006E3F3B" w:rsidP="006E3F3B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6E3F3B">
              <w:rPr>
                <w:sz w:val="20"/>
                <w:szCs w:val="20"/>
              </w:rPr>
              <w:t>koji zajedno sa svojim povezanim i partnerskim subjektima imaju prosječno barem jednog zaposlenog u prethodnoj poslovnoj godini osim subjekata osnovanih u 2014. i 2015. godini koji mogu imati prosječno manje od 1 zaposlenog (između 0 i 1 zaposlenih)</w:t>
            </w:r>
          </w:p>
          <w:p w:rsidR="006E3F3B" w:rsidRPr="006E3F3B" w:rsidRDefault="006E3F3B" w:rsidP="006E3F3B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6E3F3B">
              <w:rPr>
                <w:sz w:val="20"/>
                <w:szCs w:val="20"/>
              </w:rPr>
              <w:t>koji nemaju evidentiran dug po osnovi javnih davanja o kojima službenu evidenciju vodi Porezna uprava</w:t>
            </w:r>
          </w:p>
          <w:p w:rsidR="006E3F3B" w:rsidRPr="006E3F3B" w:rsidRDefault="006E3F3B" w:rsidP="006E3F3B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6E3F3B">
              <w:rPr>
                <w:sz w:val="20"/>
                <w:szCs w:val="20"/>
              </w:rPr>
              <w:t>koji imaju podmirene obveze prema zaposlenicima</w:t>
            </w:r>
          </w:p>
          <w:p w:rsidR="006E3F3B" w:rsidRPr="006E3F3B" w:rsidRDefault="006E3F3B" w:rsidP="006E3F3B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6E3F3B">
              <w:rPr>
                <w:sz w:val="20"/>
                <w:szCs w:val="20"/>
              </w:rPr>
              <w:t xml:space="preserve">koji su u skladu s Odredbama o potporama male vrijednosti (UREDBA KOMISIJE (EU) br. 1407/2013 od 18. prosinca 2013. o primjeni članaka 107. i 108. Ugovora o funkcioniranju </w:t>
            </w:r>
            <w:r w:rsidRPr="006E3F3B">
              <w:rPr>
                <w:sz w:val="20"/>
                <w:szCs w:val="20"/>
              </w:rPr>
              <w:lastRenderedPageBreak/>
              <w:t xml:space="preserve">Europske unije na de </w:t>
            </w:r>
            <w:proofErr w:type="spellStart"/>
            <w:r w:rsidRPr="006E3F3B">
              <w:rPr>
                <w:sz w:val="20"/>
                <w:szCs w:val="20"/>
              </w:rPr>
              <w:t>minimis</w:t>
            </w:r>
            <w:proofErr w:type="spellEnd"/>
            <w:r w:rsidRPr="006E3F3B">
              <w:rPr>
                <w:sz w:val="20"/>
                <w:szCs w:val="20"/>
              </w:rPr>
              <w:t xml:space="preserve"> potpore</w:t>
            </w:r>
          </w:p>
          <w:p w:rsidR="006E3F3B" w:rsidRPr="006E3F3B" w:rsidRDefault="006E3F3B" w:rsidP="006E3F3B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6E3F3B">
              <w:rPr>
                <w:sz w:val="20"/>
                <w:szCs w:val="20"/>
              </w:rPr>
              <w:t>koji imaju u cijelosti opravdane i namjenski iskorištene dodijeljene potpore male vrijednosti ako su iste dobili</w:t>
            </w:r>
          </w:p>
          <w:p w:rsidR="006E3F3B" w:rsidRPr="006E3F3B" w:rsidRDefault="006E3F3B" w:rsidP="006E3F3B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6E3F3B">
              <w:rPr>
                <w:sz w:val="20"/>
                <w:szCs w:val="20"/>
              </w:rPr>
              <w:t>čiji povezani subjekti imaju u cijelosti opravdane i namjenski iskorištene dodijeljene potpore male vrijednosti ako su iste dobili</w:t>
            </w:r>
          </w:p>
          <w:p w:rsidR="006E3F3B" w:rsidRPr="006E3F3B" w:rsidRDefault="006E3F3B" w:rsidP="006E3F3B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6E3F3B">
              <w:rPr>
                <w:sz w:val="20"/>
                <w:szCs w:val="20"/>
              </w:rPr>
              <w:t>čiji partnerski i povezani subjekti nemaju evidentiran dug po osnovi javnih davanja o kojima službenu evidenciju vodi Porezna uprava</w:t>
            </w:r>
          </w:p>
          <w:p w:rsidR="006E3F3B" w:rsidRPr="006E3F3B" w:rsidRDefault="006E3F3B" w:rsidP="006E3F3B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6E3F3B">
              <w:rPr>
                <w:sz w:val="20"/>
                <w:szCs w:val="20"/>
              </w:rPr>
              <w:t xml:space="preserve">nad kojima nije otvoren stečajni postupak, postupak </w:t>
            </w:r>
            <w:proofErr w:type="spellStart"/>
            <w:r w:rsidRPr="006E3F3B">
              <w:rPr>
                <w:sz w:val="20"/>
                <w:szCs w:val="20"/>
              </w:rPr>
              <w:t>predstečajne</w:t>
            </w:r>
            <w:proofErr w:type="spellEnd"/>
            <w:r w:rsidRPr="006E3F3B">
              <w:rPr>
                <w:sz w:val="20"/>
                <w:szCs w:val="20"/>
              </w:rPr>
              <w:t xml:space="preserve"> nagodbe ili postupak likvidacije</w:t>
            </w:r>
          </w:p>
          <w:p w:rsidR="006E3F3B" w:rsidRPr="006E3F3B" w:rsidRDefault="006E3F3B" w:rsidP="006E3F3B">
            <w:pPr>
              <w:pStyle w:val="Odlomakpopisa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6E3F3B">
              <w:rPr>
                <w:sz w:val="20"/>
                <w:szCs w:val="20"/>
              </w:rPr>
              <w:t xml:space="preserve">nad čijim pojedinačnim vlasnicima i partnerskim i povezanim subjektima nije otvoren stečajni postupak, postupak </w:t>
            </w:r>
            <w:proofErr w:type="spellStart"/>
            <w:r w:rsidRPr="006E3F3B">
              <w:rPr>
                <w:sz w:val="20"/>
                <w:szCs w:val="20"/>
              </w:rPr>
              <w:t>predstečajne</w:t>
            </w:r>
            <w:proofErr w:type="spellEnd"/>
            <w:r w:rsidRPr="006E3F3B">
              <w:rPr>
                <w:sz w:val="20"/>
                <w:szCs w:val="20"/>
              </w:rPr>
              <w:t xml:space="preserve"> nagodbe ili postupak likvidacije</w:t>
            </w:r>
          </w:p>
        </w:tc>
      </w:tr>
      <w:tr w:rsidR="00445FB4" w:rsidRPr="00A9088F" w:rsidTr="00F10236">
        <w:tc>
          <w:tcPr>
            <w:tcW w:w="1384" w:type="dxa"/>
          </w:tcPr>
          <w:p w:rsidR="00445FB4" w:rsidRPr="00A9088F" w:rsidRDefault="008E2A10" w:rsidP="00D12A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</w:t>
            </w:r>
            <w:r w:rsidRPr="00270C72">
              <w:rPr>
                <w:b/>
                <w:sz w:val="20"/>
                <w:szCs w:val="20"/>
              </w:rPr>
              <w:t>rihvatljive aktivnosti</w:t>
            </w:r>
          </w:p>
        </w:tc>
        <w:tc>
          <w:tcPr>
            <w:tcW w:w="8930" w:type="dxa"/>
          </w:tcPr>
          <w:p w:rsidR="007E0223" w:rsidRPr="007E0223" w:rsidRDefault="007E0223" w:rsidP="007E0223">
            <w:pPr>
              <w:jc w:val="both"/>
              <w:rPr>
                <w:sz w:val="20"/>
                <w:szCs w:val="20"/>
                <w:u w:val="single"/>
              </w:rPr>
            </w:pPr>
            <w:r w:rsidRPr="007E0223">
              <w:rPr>
                <w:sz w:val="20"/>
                <w:szCs w:val="20"/>
                <w:u w:val="single"/>
              </w:rPr>
              <w:t>OSNOVNE PROJEKTNE AKTIVNOSTI:</w:t>
            </w:r>
          </w:p>
          <w:p w:rsidR="007E0223" w:rsidRPr="007E0223" w:rsidRDefault="007E0223" w:rsidP="007E0223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7E0223">
              <w:rPr>
                <w:sz w:val="20"/>
                <w:szCs w:val="20"/>
              </w:rPr>
              <w:t>Ulaganje u dugotrajnu imovinu koja služi unaprjeđenju obavljanja djelatnosti</w:t>
            </w:r>
          </w:p>
          <w:p w:rsidR="007E0223" w:rsidRPr="007E0223" w:rsidRDefault="007E0223" w:rsidP="007E0223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7E0223">
              <w:rPr>
                <w:sz w:val="20"/>
                <w:szCs w:val="20"/>
              </w:rPr>
              <w:t>Uvođenje sustava za unaprjeđenje poslovanja i modernizaciju procesa</w:t>
            </w:r>
          </w:p>
          <w:p w:rsidR="007E0223" w:rsidRPr="00E21FD1" w:rsidRDefault="007E0223" w:rsidP="00E21FD1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7E0223">
              <w:rPr>
                <w:sz w:val="20"/>
                <w:szCs w:val="20"/>
              </w:rPr>
              <w:t>Razvojno istraživanje za stvaranje novog proizvoda, poslovnog modela, usluge i/ili procesa (uključuje i trošak osoblja zaposlenog na aktivnostima razvoja)</w:t>
            </w:r>
          </w:p>
          <w:p w:rsidR="007E0223" w:rsidRPr="007E0223" w:rsidRDefault="007E0223" w:rsidP="007E0223">
            <w:pPr>
              <w:jc w:val="both"/>
              <w:rPr>
                <w:sz w:val="20"/>
                <w:szCs w:val="20"/>
              </w:rPr>
            </w:pPr>
            <w:r w:rsidRPr="007E0223">
              <w:rPr>
                <w:sz w:val="20"/>
                <w:szCs w:val="20"/>
                <w:u w:val="single"/>
              </w:rPr>
              <w:t xml:space="preserve">DODATNE PROJEKTNE AKTIVNOSTI </w:t>
            </w:r>
            <w:r w:rsidRPr="007E0223">
              <w:rPr>
                <w:sz w:val="20"/>
                <w:szCs w:val="20"/>
              </w:rPr>
              <w:t xml:space="preserve">(nužno se vežu uz osnovne projektne aktivnosti, </w:t>
            </w:r>
            <w:proofErr w:type="spellStart"/>
            <w:r w:rsidRPr="007E0223">
              <w:rPr>
                <w:sz w:val="20"/>
                <w:szCs w:val="20"/>
              </w:rPr>
              <w:t>max</w:t>
            </w:r>
            <w:proofErr w:type="spellEnd"/>
            <w:r w:rsidRPr="007E0223">
              <w:rPr>
                <w:sz w:val="20"/>
                <w:szCs w:val="20"/>
              </w:rPr>
              <w:t>. do 30% ukupnih prihvatljivih troškova):</w:t>
            </w:r>
          </w:p>
          <w:p w:rsidR="007E0223" w:rsidRPr="007E0223" w:rsidRDefault="007E0223" w:rsidP="007E0223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7E0223">
              <w:rPr>
                <w:sz w:val="20"/>
                <w:szCs w:val="20"/>
              </w:rPr>
              <w:t>Prilagodba poslovnog prostora za osobe s invaliditetom ako je poslovni prostor u vlasništvu Podnositelja prijave</w:t>
            </w:r>
          </w:p>
          <w:p w:rsidR="007E0223" w:rsidRPr="007E0223" w:rsidRDefault="007E0223" w:rsidP="007E0223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7E0223">
              <w:rPr>
                <w:sz w:val="20"/>
                <w:szCs w:val="20"/>
              </w:rPr>
              <w:t>Upravljanje i zaštita intelektualnog vlasništva</w:t>
            </w:r>
          </w:p>
          <w:p w:rsidR="007E0223" w:rsidRPr="007E0223" w:rsidRDefault="007E0223" w:rsidP="007E0223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7E0223">
              <w:rPr>
                <w:sz w:val="20"/>
                <w:szCs w:val="20"/>
              </w:rPr>
              <w:t>Uvođenje sustava upravljanja kvalitetom, normi i znakova kvalitete</w:t>
            </w:r>
          </w:p>
          <w:p w:rsidR="007E0223" w:rsidRPr="007E0223" w:rsidRDefault="007E0223" w:rsidP="007E0223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7E0223">
              <w:rPr>
                <w:sz w:val="20"/>
                <w:szCs w:val="20"/>
              </w:rPr>
              <w:t>Stručno osposobljavanje i obrazovanje</w:t>
            </w:r>
          </w:p>
          <w:p w:rsidR="007E0223" w:rsidRPr="007E0223" w:rsidRDefault="007E0223" w:rsidP="007E0223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7E0223">
              <w:rPr>
                <w:sz w:val="20"/>
                <w:szCs w:val="20"/>
              </w:rPr>
              <w:t>Marketinške aktivnosti</w:t>
            </w:r>
          </w:p>
          <w:p w:rsidR="00F10236" w:rsidRPr="00D661AB" w:rsidRDefault="007E0223" w:rsidP="007E0223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7E0223">
              <w:rPr>
                <w:sz w:val="20"/>
                <w:szCs w:val="20"/>
              </w:rPr>
              <w:t>Usluge čuvanja djece za žene poduzetnice</w:t>
            </w:r>
          </w:p>
        </w:tc>
      </w:tr>
      <w:tr w:rsidR="005B23CA" w:rsidRPr="00A9088F" w:rsidTr="00F10236">
        <w:tc>
          <w:tcPr>
            <w:tcW w:w="1384" w:type="dxa"/>
          </w:tcPr>
          <w:p w:rsidR="005B23CA" w:rsidRPr="00270C72" w:rsidRDefault="008E2A10" w:rsidP="001531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400E8B">
              <w:rPr>
                <w:b/>
                <w:sz w:val="20"/>
                <w:szCs w:val="20"/>
              </w:rPr>
              <w:t>rihvatljivi troškovi</w:t>
            </w:r>
          </w:p>
        </w:tc>
        <w:tc>
          <w:tcPr>
            <w:tcW w:w="8930" w:type="dxa"/>
          </w:tcPr>
          <w:p w:rsidR="007139D2" w:rsidRPr="007139D2" w:rsidRDefault="007139D2" w:rsidP="007139D2">
            <w:pPr>
              <w:jc w:val="both"/>
              <w:rPr>
                <w:sz w:val="20"/>
                <w:szCs w:val="20"/>
                <w:u w:val="single"/>
              </w:rPr>
            </w:pPr>
            <w:r w:rsidRPr="007139D2">
              <w:rPr>
                <w:sz w:val="20"/>
                <w:szCs w:val="20"/>
                <w:u w:val="single"/>
              </w:rPr>
              <w:t>Za osnovne projektne aktivnosti</w:t>
            </w:r>
          </w:p>
          <w:p w:rsidR="007139D2" w:rsidRPr="007139D2" w:rsidRDefault="007139D2" w:rsidP="007139D2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139D2">
              <w:rPr>
                <w:sz w:val="20"/>
                <w:szCs w:val="20"/>
              </w:rPr>
              <w:t>Troškovi vezani uz nabavu</w:t>
            </w:r>
            <w:r w:rsidR="00BD03B1">
              <w:rPr>
                <w:sz w:val="20"/>
                <w:szCs w:val="20"/>
              </w:rPr>
              <w:t xml:space="preserve"> </w:t>
            </w:r>
            <w:r w:rsidRPr="007139D2">
              <w:rPr>
                <w:sz w:val="20"/>
                <w:szCs w:val="20"/>
              </w:rPr>
              <w:t>opreme, mjernih i kontrolnih uređaja i instrumenata te računalne opreme namijenjene isključivo za obavljanje poslovne djelatnosti</w:t>
            </w:r>
          </w:p>
          <w:p w:rsidR="007139D2" w:rsidRPr="007139D2" w:rsidRDefault="007139D2" w:rsidP="007139D2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139D2">
              <w:rPr>
                <w:sz w:val="20"/>
                <w:szCs w:val="20"/>
              </w:rPr>
              <w:t>Troškovi vezani uz nabavu računalnih programa i sustava namijenjenih za unaprjeđenje poslovanja i modernizaciju poslovnih procesa</w:t>
            </w:r>
          </w:p>
          <w:p w:rsidR="007139D2" w:rsidRPr="007139D2" w:rsidRDefault="007139D2" w:rsidP="007139D2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139D2">
              <w:rPr>
                <w:sz w:val="20"/>
                <w:szCs w:val="20"/>
              </w:rPr>
              <w:t xml:space="preserve">Svi troškovi vezani uz razvojno istraživanje za stvaranje novog proizvoda, poslovnog modela, usluge i/ili procesa te troškovi osoblja zaposlenih na aktivnostima razvoja </w:t>
            </w:r>
          </w:p>
          <w:p w:rsidR="007139D2" w:rsidRPr="007139D2" w:rsidRDefault="007139D2" w:rsidP="007139D2">
            <w:pPr>
              <w:jc w:val="both"/>
              <w:rPr>
                <w:sz w:val="20"/>
                <w:szCs w:val="20"/>
                <w:u w:val="single"/>
              </w:rPr>
            </w:pPr>
            <w:r w:rsidRPr="007139D2">
              <w:rPr>
                <w:sz w:val="20"/>
                <w:szCs w:val="20"/>
                <w:u w:val="single"/>
              </w:rPr>
              <w:t>Za dodatne projektne aktivnosti</w:t>
            </w:r>
          </w:p>
          <w:p w:rsidR="007139D2" w:rsidRPr="007139D2" w:rsidRDefault="007139D2" w:rsidP="007139D2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139D2">
              <w:rPr>
                <w:sz w:val="20"/>
                <w:szCs w:val="20"/>
              </w:rPr>
              <w:t>Troškovi vezani uz prilagodbu poslovnog prostora za osobe s invaliditetom– potrebno priložiti i vlasnički list kao dokaz da je poslovni prostor u vlasništvu Podnositelja prijave</w:t>
            </w:r>
          </w:p>
          <w:p w:rsidR="007139D2" w:rsidRPr="007139D2" w:rsidRDefault="007139D2" w:rsidP="007139D2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139D2">
              <w:rPr>
                <w:sz w:val="20"/>
                <w:szCs w:val="20"/>
              </w:rPr>
              <w:t>Troškovi vezani uz zaštitu intelektualnog vlasništva</w:t>
            </w:r>
          </w:p>
          <w:p w:rsidR="007139D2" w:rsidRPr="007139D2" w:rsidRDefault="007139D2" w:rsidP="007139D2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139D2">
              <w:rPr>
                <w:sz w:val="20"/>
                <w:szCs w:val="20"/>
              </w:rPr>
              <w:t>Troškovi vezani uz pripremu, uvođenje i certificiranje sustava upravljanja kvalitetom i normi te troškove stjecanja prava uporabe znaka Hrvatska kvaliteta, Izvorno hrvatsko i Hrvatski otočni proizvod i sličnih priznatih znakova kvalitete</w:t>
            </w:r>
          </w:p>
          <w:p w:rsidR="007139D2" w:rsidRPr="007139D2" w:rsidRDefault="007139D2" w:rsidP="007139D2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139D2">
              <w:rPr>
                <w:sz w:val="20"/>
                <w:szCs w:val="20"/>
              </w:rPr>
              <w:t>Troškovi vezani uz stručno osposobljavanje, strukovnu izobrazbu, stjecanje novih znanja (</w:t>
            </w:r>
            <w:proofErr w:type="spellStart"/>
            <w:r w:rsidRPr="007139D2">
              <w:rPr>
                <w:sz w:val="20"/>
                <w:szCs w:val="20"/>
              </w:rPr>
              <w:t>know</w:t>
            </w:r>
            <w:proofErr w:type="spellEnd"/>
            <w:r w:rsidRPr="007139D2">
              <w:rPr>
                <w:sz w:val="20"/>
                <w:szCs w:val="20"/>
              </w:rPr>
              <w:t>-how) i poduzetničko obrazovanje</w:t>
            </w:r>
          </w:p>
          <w:p w:rsidR="007139D2" w:rsidRPr="007139D2" w:rsidRDefault="007139D2" w:rsidP="007139D2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139D2">
              <w:rPr>
                <w:sz w:val="20"/>
                <w:szCs w:val="20"/>
              </w:rPr>
              <w:t xml:space="preserve">Troškovi vezani uz individualne nastupe na domaćim i inozemnim sajmovima (u slučaju smještaja prihvatljiv je trošak hotela s najviše tri zvjezdice, trošak prijevoza automobilom 2kn/km ili trošak karte za ostala prijevozna sredstva (u slučaju putovanja zrakoplovom – ekonomska klasa)), kreiranje </w:t>
            </w:r>
            <w:proofErr w:type="spellStart"/>
            <w:r w:rsidRPr="007139D2">
              <w:rPr>
                <w:sz w:val="20"/>
                <w:szCs w:val="20"/>
              </w:rPr>
              <w:t>brenda</w:t>
            </w:r>
            <w:proofErr w:type="spellEnd"/>
            <w:r w:rsidRPr="007139D2">
              <w:rPr>
                <w:sz w:val="20"/>
                <w:szCs w:val="20"/>
              </w:rPr>
              <w:t xml:space="preserve">, dizajniranje proizvoda, </w:t>
            </w:r>
            <w:proofErr w:type="spellStart"/>
            <w:r w:rsidRPr="007139D2">
              <w:rPr>
                <w:sz w:val="20"/>
                <w:szCs w:val="20"/>
              </w:rPr>
              <w:t>izradui</w:t>
            </w:r>
            <w:proofErr w:type="spellEnd"/>
            <w:r w:rsidRPr="007139D2">
              <w:rPr>
                <w:sz w:val="20"/>
                <w:szCs w:val="20"/>
              </w:rPr>
              <w:t xml:space="preserve"> ažuriranje mrežne stranice i izradu promidžbenog materijala</w:t>
            </w:r>
          </w:p>
          <w:p w:rsidR="005B23CA" w:rsidRPr="00CF4662" w:rsidRDefault="007139D2" w:rsidP="007139D2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139D2">
              <w:rPr>
                <w:sz w:val="20"/>
                <w:szCs w:val="20"/>
              </w:rPr>
              <w:t>Troškovi vezani uz čuvanje djece Podnositelja prijave u većinskom vlasništvu žene (trošak dječjeg vrtića i ostalih gospodarskih subjekata koji pružaju usluge čuvanja djece) u vremenu trajanja projekta</w:t>
            </w:r>
          </w:p>
        </w:tc>
      </w:tr>
      <w:tr w:rsidR="001F0546" w:rsidRPr="00A9088F" w:rsidTr="00F10236">
        <w:tc>
          <w:tcPr>
            <w:tcW w:w="1384" w:type="dxa"/>
          </w:tcPr>
          <w:p w:rsidR="001F0546" w:rsidRPr="00400E8B" w:rsidRDefault="008E2A10" w:rsidP="001531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Iznosi potpore</w:t>
            </w:r>
          </w:p>
        </w:tc>
        <w:tc>
          <w:tcPr>
            <w:tcW w:w="8930" w:type="dxa"/>
          </w:tcPr>
          <w:p w:rsidR="006E09EB" w:rsidRPr="006E09EB" w:rsidRDefault="006E09EB" w:rsidP="006E09EB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6E09EB">
              <w:rPr>
                <w:sz w:val="20"/>
                <w:szCs w:val="20"/>
              </w:rPr>
              <w:t>Najniži iznos potpore koji se može dodijeliti je 30.000,00 kuna,</w:t>
            </w:r>
          </w:p>
          <w:p w:rsidR="001F0546" w:rsidRDefault="006E09EB" w:rsidP="006E09EB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6E09EB">
              <w:rPr>
                <w:sz w:val="20"/>
                <w:szCs w:val="20"/>
              </w:rPr>
              <w:t>Najviši iznos potpore koji se može dodijeliti je 200.000,00kuna.</w:t>
            </w:r>
          </w:p>
          <w:p w:rsidR="006E09EB" w:rsidRPr="006E09EB" w:rsidRDefault="006E09EB" w:rsidP="006E09EB">
            <w:pPr>
              <w:pStyle w:val="Odlomakpopisa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6E09EB">
              <w:rPr>
                <w:sz w:val="20"/>
                <w:szCs w:val="20"/>
              </w:rPr>
              <w:t>Za obrtnike koji obavljaju samostalnu djelatnost i dohodak utvrđuju temeljem paušalnog dohotka te za profesionalne djelatnosti fizičkih osoba koje su po osnovi obvezno osigurane, najviši iznos potpore koji se može dodijeliti je 50.000,00 kuna</w:t>
            </w:r>
          </w:p>
        </w:tc>
      </w:tr>
      <w:tr w:rsidR="001F0546" w:rsidRPr="00A9088F" w:rsidTr="00F10236">
        <w:tc>
          <w:tcPr>
            <w:tcW w:w="1384" w:type="dxa"/>
          </w:tcPr>
          <w:p w:rsidR="001F0546" w:rsidRDefault="008E2A10" w:rsidP="001531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Intenzitet potpore</w:t>
            </w:r>
          </w:p>
        </w:tc>
        <w:tc>
          <w:tcPr>
            <w:tcW w:w="8930" w:type="dxa"/>
          </w:tcPr>
          <w:p w:rsidR="001F0546" w:rsidRPr="001F0546" w:rsidRDefault="006E09EB" w:rsidP="006E0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E09EB">
              <w:rPr>
                <w:sz w:val="20"/>
                <w:szCs w:val="20"/>
              </w:rPr>
              <w:t>značava udio sredstava s kojim davatelj potpore HAMAG-BICRO sudjeluje u financiranju projektnog prijedloga i može dosegnuti do maksimalno 75% ukupno prihvatljivih troškova iskazanih u tablici proračuna projektnog prijedloga.</w:t>
            </w:r>
            <w:r>
              <w:rPr>
                <w:sz w:val="20"/>
                <w:szCs w:val="20"/>
              </w:rPr>
              <w:t xml:space="preserve"> </w:t>
            </w:r>
            <w:r w:rsidRPr="006E09EB">
              <w:rPr>
                <w:sz w:val="20"/>
                <w:szCs w:val="20"/>
              </w:rPr>
              <w:t>Podnositelj prijave dužan je sudjelovati u financiranju projektnog prijedloga u iznosu od minimalno 25%prihvatljivih troškova iskazanih u tablici proračuna projektnog prijedloga.</w:t>
            </w:r>
          </w:p>
        </w:tc>
      </w:tr>
      <w:tr w:rsidR="00495284" w:rsidRPr="00A9088F" w:rsidTr="00F10236">
        <w:tc>
          <w:tcPr>
            <w:tcW w:w="1384" w:type="dxa"/>
          </w:tcPr>
          <w:p w:rsidR="00495284" w:rsidRDefault="008E2A10" w:rsidP="001531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Isplata</w:t>
            </w:r>
          </w:p>
        </w:tc>
        <w:tc>
          <w:tcPr>
            <w:tcW w:w="8930" w:type="dxa"/>
          </w:tcPr>
          <w:p w:rsidR="00E032ED" w:rsidRPr="00E032ED" w:rsidRDefault="00E032ED" w:rsidP="00E032ED">
            <w:pPr>
              <w:jc w:val="both"/>
              <w:rPr>
                <w:sz w:val="20"/>
                <w:szCs w:val="20"/>
              </w:rPr>
            </w:pPr>
            <w:r w:rsidRPr="00E032ED">
              <w:rPr>
                <w:sz w:val="20"/>
                <w:szCs w:val="20"/>
              </w:rPr>
              <w:t>HAMAG-BICRO sredstva za odobrene projektne prijedloge isplaćuje na žiro račun Korisnika u dva dijela:</w:t>
            </w:r>
          </w:p>
          <w:p w:rsidR="00495284" w:rsidRPr="00A02A04" w:rsidRDefault="00E032ED" w:rsidP="00E032ED">
            <w:pPr>
              <w:jc w:val="both"/>
              <w:rPr>
                <w:sz w:val="20"/>
                <w:szCs w:val="20"/>
              </w:rPr>
            </w:pPr>
            <w:r w:rsidRPr="00E032ED">
              <w:rPr>
                <w:sz w:val="20"/>
                <w:szCs w:val="20"/>
              </w:rPr>
              <w:t xml:space="preserve">80% iznosa dodijeljene potpore po zaključenju Ugovora, nakon što Korisnik dostavi HAMAG-BICRO-u potpisani Ugovor i </w:t>
            </w:r>
            <w:proofErr w:type="spellStart"/>
            <w:r w:rsidRPr="00E032ED">
              <w:rPr>
                <w:sz w:val="20"/>
                <w:szCs w:val="20"/>
              </w:rPr>
              <w:t>solemniziranu</w:t>
            </w:r>
            <w:proofErr w:type="spellEnd"/>
            <w:r w:rsidRPr="00E032ED">
              <w:rPr>
                <w:sz w:val="20"/>
                <w:szCs w:val="20"/>
              </w:rPr>
              <w:t xml:space="preserve"> bjanko zadužnicu</w:t>
            </w:r>
            <w:r>
              <w:rPr>
                <w:sz w:val="20"/>
                <w:szCs w:val="20"/>
              </w:rPr>
              <w:t>. O</w:t>
            </w:r>
            <w:r w:rsidRPr="00E032ED">
              <w:rPr>
                <w:sz w:val="20"/>
                <w:szCs w:val="20"/>
              </w:rPr>
              <w:t xml:space="preserve">statak iznosa potpore do maksimalno 75% od ukupno </w:t>
            </w:r>
            <w:r w:rsidRPr="00E032ED">
              <w:rPr>
                <w:sz w:val="20"/>
                <w:szCs w:val="20"/>
              </w:rPr>
              <w:lastRenderedPageBreak/>
              <w:t>prihvatljivih troškova iskazanih u utvrđenoj tablici proračuna nakon odobrenja Izvještaja o provedbi projekta, ali ne prije 1.1.2016. godine.</w:t>
            </w:r>
          </w:p>
        </w:tc>
      </w:tr>
      <w:tr w:rsidR="00D12A7C" w:rsidRPr="00A9088F" w:rsidTr="00F10236">
        <w:tc>
          <w:tcPr>
            <w:tcW w:w="1384" w:type="dxa"/>
          </w:tcPr>
          <w:p w:rsidR="00D12A7C" w:rsidRDefault="00D12A7C" w:rsidP="001531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Postupak odobravanja potpore</w:t>
            </w:r>
          </w:p>
        </w:tc>
        <w:tc>
          <w:tcPr>
            <w:tcW w:w="8930" w:type="dxa"/>
          </w:tcPr>
          <w:p w:rsidR="00634D7F" w:rsidRPr="00634D7F" w:rsidRDefault="00634D7F" w:rsidP="00634D7F">
            <w:pPr>
              <w:jc w:val="both"/>
              <w:rPr>
                <w:sz w:val="20"/>
                <w:szCs w:val="20"/>
              </w:rPr>
            </w:pPr>
            <w:r w:rsidRPr="00634D7F">
              <w:rPr>
                <w:sz w:val="20"/>
                <w:szCs w:val="20"/>
              </w:rPr>
              <w:t>Pristigle prijave vrednovat će se redom pristizanja u četiri koraka:</w:t>
            </w:r>
          </w:p>
          <w:p w:rsidR="00634D7F" w:rsidRPr="00634D7F" w:rsidRDefault="00634D7F" w:rsidP="00634D7F">
            <w:pPr>
              <w:jc w:val="both"/>
              <w:rPr>
                <w:sz w:val="20"/>
                <w:szCs w:val="20"/>
              </w:rPr>
            </w:pPr>
            <w:r w:rsidRPr="00634D7F">
              <w:rPr>
                <w:sz w:val="20"/>
                <w:szCs w:val="20"/>
              </w:rPr>
              <w:t>1) Administrativna provjera,</w:t>
            </w:r>
          </w:p>
          <w:p w:rsidR="00634D7F" w:rsidRPr="00634D7F" w:rsidRDefault="00634D7F" w:rsidP="00634D7F">
            <w:pPr>
              <w:jc w:val="both"/>
              <w:rPr>
                <w:sz w:val="20"/>
                <w:szCs w:val="20"/>
              </w:rPr>
            </w:pPr>
            <w:r w:rsidRPr="00634D7F">
              <w:rPr>
                <w:sz w:val="20"/>
                <w:szCs w:val="20"/>
              </w:rPr>
              <w:t>2) Provjera prihvatljivosti,</w:t>
            </w:r>
          </w:p>
          <w:p w:rsidR="00634D7F" w:rsidRPr="00634D7F" w:rsidRDefault="00634D7F" w:rsidP="00634D7F">
            <w:pPr>
              <w:jc w:val="both"/>
              <w:rPr>
                <w:sz w:val="20"/>
                <w:szCs w:val="20"/>
              </w:rPr>
            </w:pPr>
            <w:r w:rsidRPr="00634D7F">
              <w:rPr>
                <w:sz w:val="20"/>
                <w:szCs w:val="20"/>
              </w:rPr>
              <w:t>3) Ocjena projektnog prijedloga,</w:t>
            </w:r>
          </w:p>
          <w:p w:rsidR="00D12A7C" w:rsidRDefault="00634D7F" w:rsidP="00634D7F">
            <w:pPr>
              <w:jc w:val="both"/>
              <w:rPr>
                <w:sz w:val="20"/>
                <w:szCs w:val="20"/>
              </w:rPr>
            </w:pPr>
            <w:r w:rsidRPr="00634D7F">
              <w:rPr>
                <w:sz w:val="20"/>
                <w:szCs w:val="20"/>
              </w:rPr>
              <w:t>4) Provjera proračuna.</w:t>
            </w:r>
          </w:p>
          <w:p w:rsidR="00634D7F" w:rsidRPr="00A02A04" w:rsidRDefault="00634D7F" w:rsidP="00634D7F">
            <w:pPr>
              <w:jc w:val="both"/>
              <w:rPr>
                <w:sz w:val="20"/>
                <w:szCs w:val="20"/>
              </w:rPr>
            </w:pPr>
            <w:r w:rsidRPr="00634D7F">
              <w:rPr>
                <w:sz w:val="20"/>
                <w:szCs w:val="20"/>
              </w:rPr>
              <w:t>Projektni prijedlog može biti odbijen u svakom od navedenih koraka odobravanja bespovratne potpore ako se utvrdi da nisu zadovoljeni svi uvjeti ovog Javnog poziva.</w:t>
            </w:r>
            <w:r>
              <w:rPr>
                <w:sz w:val="20"/>
                <w:szCs w:val="20"/>
              </w:rPr>
              <w:t xml:space="preserve"> </w:t>
            </w:r>
            <w:r w:rsidRPr="00634D7F">
              <w:rPr>
                <w:sz w:val="20"/>
                <w:szCs w:val="20"/>
              </w:rPr>
              <w:t>Po završetku sva četiri koraka postupka, bespovratne potpore dodjeljuju se, temeljem formirane bodovne liste, najuspješnijim Podnositeljima prijave, počevši s onim s najvećim brojem bodova do iskorištenja raspoloživih sredstava.</w:t>
            </w:r>
          </w:p>
        </w:tc>
      </w:tr>
      <w:tr w:rsidR="00D12A7C" w:rsidRPr="00A9088F" w:rsidTr="00F10236">
        <w:tc>
          <w:tcPr>
            <w:tcW w:w="1384" w:type="dxa"/>
          </w:tcPr>
          <w:p w:rsidR="00D12A7C" w:rsidRDefault="00D12A7C" w:rsidP="001531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Nadzor</w:t>
            </w:r>
          </w:p>
        </w:tc>
        <w:tc>
          <w:tcPr>
            <w:tcW w:w="8930" w:type="dxa"/>
          </w:tcPr>
          <w:p w:rsidR="00813877" w:rsidRPr="00813877" w:rsidRDefault="00813877" w:rsidP="00813877">
            <w:pPr>
              <w:jc w:val="both"/>
              <w:rPr>
                <w:sz w:val="20"/>
                <w:szCs w:val="20"/>
              </w:rPr>
            </w:pPr>
            <w:r w:rsidRPr="00813877">
              <w:rPr>
                <w:sz w:val="20"/>
                <w:szCs w:val="20"/>
              </w:rPr>
              <w:t>U svrhu provođenja kontrole namjenskog korištenja sredstava HAMAG-BICRO je ovlašten izvršiti provjeru korištenja odobrenih sredstava obilaskom Korisnika i njegovih poslovnih objekata, te  uvidom u dokumentaciju na temelju koje je ostvarena potpora.</w:t>
            </w:r>
          </w:p>
          <w:p w:rsidR="00813877" w:rsidRPr="00813877" w:rsidRDefault="00813877" w:rsidP="00813877">
            <w:pPr>
              <w:jc w:val="both"/>
              <w:rPr>
                <w:sz w:val="20"/>
                <w:szCs w:val="20"/>
              </w:rPr>
            </w:pPr>
            <w:r w:rsidRPr="00813877">
              <w:rPr>
                <w:sz w:val="20"/>
                <w:szCs w:val="20"/>
              </w:rPr>
              <w:t>Korisnici kod kojih se prilikom kontrole utvrdi nenamjensko trošenje sredstava, bit će dužni vratiti dodijeljena sredstva s pripadajućim zakonskim zateznim kamatama te će ih se uvrstiti na popis Korisnika koji nisu namjenski koristili sredstva.</w:t>
            </w:r>
          </w:p>
          <w:p w:rsidR="00D12A7C" w:rsidRPr="00A02A04" w:rsidRDefault="00813877" w:rsidP="00813877">
            <w:pPr>
              <w:jc w:val="both"/>
              <w:rPr>
                <w:sz w:val="20"/>
                <w:szCs w:val="20"/>
              </w:rPr>
            </w:pPr>
            <w:r w:rsidRPr="00813877">
              <w:rPr>
                <w:sz w:val="20"/>
                <w:szCs w:val="20"/>
              </w:rPr>
              <w:t>Ukoliko Korisnici ne izvrše sve obveze preuzete Ugovorom o dodjeli bespovratne potpore, Prijavnim obrascem, ovim Javnim pozivom i dokumentacijom koja je sastavni dio ovog Javnog poziva ili ne izvrše povrat nenamjenski odnosno neopravdano iskorištenih sredstava, HAMAG-BICRO ima pravo podnijeti bjanko zadužnicu na prisilnu naplatu dodijeljene potpore  s pripadajućim zakonskim zateznim kamatama.</w:t>
            </w:r>
          </w:p>
        </w:tc>
      </w:tr>
      <w:tr w:rsidR="00D12A7C" w:rsidRPr="00A9088F" w:rsidTr="00F10236">
        <w:tc>
          <w:tcPr>
            <w:tcW w:w="1384" w:type="dxa"/>
          </w:tcPr>
          <w:p w:rsidR="00D12A7C" w:rsidRDefault="00D12A7C" w:rsidP="001531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Informacije i indikativni vremenski okvir</w:t>
            </w:r>
          </w:p>
        </w:tc>
        <w:tc>
          <w:tcPr>
            <w:tcW w:w="8930" w:type="dxa"/>
          </w:tcPr>
          <w:p w:rsidR="00813877" w:rsidRPr="00813877" w:rsidRDefault="00AF6F00" w:rsidP="008138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13877" w:rsidRPr="00813877">
              <w:rPr>
                <w:sz w:val="20"/>
                <w:szCs w:val="20"/>
              </w:rPr>
              <w:t>NDIKATIVNI VREMENSKI ROKOVI</w:t>
            </w:r>
          </w:p>
          <w:p w:rsidR="00813877" w:rsidRPr="00813877" w:rsidRDefault="00813877" w:rsidP="008138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13877">
              <w:rPr>
                <w:sz w:val="20"/>
                <w:szCs w:val="20"/>
              </w:rPr>
              <w:t>Pisana obavijest o odbacivanju pri</w:t>
            </w:r>
            <w:r>
              <w:rPr>
                <w:sz w:val="20"/>
                <w:szCs w:val="20"/>
              </w:rPr>
              <w:t xml:space="preserve">jave (Administrativna provjera) - </w:t>
            </w:r>
            <w:r w:rsidRPr="00813877">
              <w:rPr>
                <w:sz w:val="20"/>
                <w:szCs w:val="20"/>
              </w:rPr>
              <w:t>u roku od 10 radnih dana od dana zatvaranja Javnog poziva</w:t>
            </w:r>
          </w:p>
          <w:p w:rsidR="00813877" w:rsidRPr="00813877" w:rsidRDefault="00813877" w:rsidP="00813877">
            <w:pPr>
              <w:jc w:val="both"/>
              <w:rPr>
                <w:sz w:val="20"/>
                <w:szCs w:val="20"/>
              </w:rPr>
            </w:pPr>
            <w:r w:rsidRPr="0081387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13877">
              <w:rPr>
                <w:sz w:val="20"/>
                <w:szCs w:val="20"/>
              </w:rPr>
              <w:t>Pisana obavijest o odbacivanju pri</w:t>
            </w:r>
            <w:r>
              <w:rPr>
                <w:sz w:val="20"/>
                <w:szCs w:val="20"/>
              </w:rPr>
              <w:t xml:space="preserve">jave (Provjera prihvatljivosti) - </w:t>
            </w:r>
            <w:r w:rsidRPr="00813877">
              <w:rPr>
                <w:sz w:val="20"/>
                <w:szCs w:val="20"/>
              </w:rPr>
              <w:t>u roku od 20 radnih dana od dana  zatvaranja Javnog poziva</w:t>
            </w:r>
          </w:p>
          <w:p w:rsidR="00813877" w:rsidRPr="00813877" w:rsidRDefault="00813877" w:rsidP="00813877">
            <w:pPr>
              <w:jc w:val="both"/>
              <w:rPr>
                <w:sz w:val="20"/>
                <w:szCs w:val="20"/>
              </w:rPr>
            </w:pPr>
            <w:r w:rsidRPr="00813877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13877">
              <w:rPr>
                <w:sz w:val="20"/>
                <w:szCs w:val="20"/>
              </w:rPr>
              <w:t>Pisana obavijest o odbijanju prijave (Ocjena projektnog prijedloga)</w:t>
            </w:r>
            <w:r>
              <w:rPr>
                <w:sz w:val="20"/>
                <w:szCs w:val="20"/>
              </w:rPr>
              <w:t xml:space="preserve"> - </w:t>
            </w:r>
            <w:r w:rsidRPr="00813877">
              <w:rPr>
                <w:sz w:val="20"/>
                <w:szCs w:val="20"/>
              </w:rPr>
              <w:t>u roku od 45 radnih dana od dana  zatvaranja Javnog poziva</w:t>
            </w:r>
          </w:p>
          <w:p w:rsidR="00813877" w:rsidRPr="00813877" w:rsidRDefault="00813877" w:rsidP="00813877">
            <w:pPr>
              <w:jc w:val="both"/>
              <w:rPr>
                <w:sz w:val="20"/>
                <w:szCs w:val="20"/>
              </w:rPr>
            </w:pPr>
            <w:r w:rsidRPr="00813877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13877">
              <w:rPr>
                <w:sz w:val="20"/>
                <w:szCs w:val="20"/>
              </w:rPr>
              <w:t>Prihvaćanje Ugovora od strane Korisnika</w:t>
            </w:r>
            <w:r w:rsidRPr="008138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- </w:t>
            </w:r>
            <w:r w:rsidRPr="00813877">
              <w:rPr>
                <w:sz w:val="20"/>
                <w:szCs w:val="20"/>
              </w:rPr>
              <w:t>u roku od 15 dana od dana primitka potpisanog Ugovora</w:t>
            </w:r>
          </w:p>
          <w:p w:rsidR="00813877" w:rsidRPr="00813877" w:rsidRDefault="00813877" w:rsidP="00813877">
            <w:pPr>
              <w:jc w:val="both"/>
              <w:rPr>
                <w:sz w:val="20"/>
                <w:szCs w:val="20"/>
              </w:rPr>
            </w:pPr>
            <w:r w:rsidRPr="00813877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813877">
              <w:rPr>
                <w:sz w:val="20"/>
                <w:szCs w:val="20"/>
              </w:rPr>
              <w:t>Isplata sredstava u iznosu od 80% od odobrene potpore</w:t>
            </w:r>
            <w:r>
              <w:rPr>
                <w:sz w:val="20"/>
                <w:szCs w:val="20"/>
              </w:rPr>
              <w:t xml:space="preserve"> - </w:t>
            </w:r>
            <w:r w:rsidRPr="00813877">
              <w:rPr>
                <w:sz w:val="20"/>
                <w:szCs w:val="20"/>
              </w:rPr>
              <w:t>u roku od 10 radnih dana od dana primitka potpisanog Ugovora od strane Korisnika</w:t>
            </w:r>
          </w:p>
          <w:p w:rsidR="00813877" w:rsidRPr="00813877" w:rsidRDefault="00813877" w:rsidP="008138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813877">
              <w:rPr>
                <w:sz w:val="20"/>
                <w:szCs w:val="20"/>
              </w:rPr>
              <w:t>Dostava Privremenog izvještaja o provedb</w:t>
            </w:r>
            <w:r>
              <w:rPr>
                <w:sz w:val="20"/>
                <w:szCs w:val="20"/>
              </w:rPr>
              <w:t xml:space="preserve">i projekta  od strane Korisnika - </w:t>
            </w:r>
            <w:r w:rsidRPr="00813877">
              <w:rPr>
                <w:sz w:val="20"/>
                <w:szCs w:val="20"/>
              </w:rPr>
              <w:t>u roku 6 mjeseci (180 dana) od dana zaključenja Ugovora</w:t>
            </w:r>
          </w:p>
          <w:p w:rsidR="00813877" w:rsidRPr="00813877" w:rsidRDefault="00813877" w:rsidP="00813877">
            <w:pPr>
              <w:jc w:val="both"/>
              <w:rPr>
                <w:sz w:val="20"/>
                <w:szCs w:val="20"/>
              </w:rPr>
            </w:pPr>
            <w:r w:rsidRPr="00813877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</w:t>
            </w:r>
            <w:r w:rsidRPr="00813877">
              <w:rPr>
                <w:sz w:val="20"/>
                <w:szCs w:val="20"/>
              </w:rPr>
              <w:t>Dostava Završnog izvještaja o provedbi projekta i dokaza o namjenskom utrošku sredstava od strane Korisnika</w:t>
            </w:r>
            <w:r>
              <w:rPr>
                <w:sz w:val="20"/>
                <w:szCs w:val="20"/>
              </w:rPr>
              <w:t xml:space="preserve"> - </w:t>
            </w:r>
            <w:r w:rsidRPr="00813877">
              <w:rPr>
                <w:sz w:val="20"/>
                <w:szCs w:val="20"/>
              </w:rPr>
              <w:t>u roku 1 godine (365 dana) od dana zaključenja Ugovora</w:t>
            </w:r>
          </w:p>
          <w:p w:rsidR="00D12A7C" w:rsidRPr="00A02A04" w:rsidRDefault="00813877" w:rsidP="00813877">
            <w:pPr>
              <w:jc w:val="both"/>
              <w:rPr>
                <w:sz w:val="20"/>
                <w:szCs w:val="20"/>
              </w:rPr>
            </w:pPr>
            <w:r w:rsidRPr="00813877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r w:rsidRPr="00813877">
              <w:rPr>
                <w:sz w:val="20"/>
                <w:szCs w:val="20"/>
              </w:rPr>
              <w:t>Isplata preostalog iznosa potpore do maksimalno 75%od ukupno prihvatljivih troškova iskazanih u  utvrđenoj tablici proračuna</w:t>
            </w:r>
            <w:r>
              <w:rPr>
                <w:sz w:val="20"/>
                <w:szCs w:val="20"/>
              </w:rPr>
              <w:t xml:space="preserve"> - </w:t>
            </w:r>
            <w:r w:rsidRPr="00813877">
              <w:rPr>
                <w:sz w:val="20"/>
                <w:szCs w:val="20"/>
              </w:rPr>
              <w:t>u roku od 10 radnih dana od dana odobrenja Završnog izvještaja o provedbi projekta i dokaza o namjenskom utrošku sredstava (ne prije 1.1.2016. godine)</w:t>
            </w:r>
          </w:p>
        </w:tc>
      </w:tr>
    </w:tbl>
    <w:p w:rsidR="00825BA5" w:rsidRDefault="00825BA5" w:rsidP="00CC7562">
      <w:pPr>
        <w:spacing w:after="0"/>
        <w:jc w:val="both"/>
        <w:rPr>
          <w:sz w:val="20"/>
          <w:szCs w:val="20"/>
        </w:rPr>
      </w:pPr>
    </w:p>
    <w:p w:rsidR="00F10236" w:rsidRPr="00A9088F" w:rsidRDefault="00F10236" w:rsidP="00CC7562">
      <w:pPr>
        <w:spacing w:after="0"/>
        <w:jc w:val="both"/>
        <w:rPr>
          <w:sz w:val="20"/>
          <w:szCs w:val="20"/>
        </w:rPr>
      </w:pPr>
    </w:p>
    <w:sectPr w:rsidR="00F10236" w:rsidRPr="00A9088F" w:rsidSect="00F10236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849"/>
    <w:multiLevelType w:val="hybridMultilevel"/>
    <w:tmpl w:val="AC5CCDCA"/>
    <w:lvl w:ilvl="0" w:tplc="DE60CD4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1B39"/>
    <w:multiLevelType w:val="hybridMultilevel"/>
    <w:tmpl w:val="B01E0E6E"/>
    <w:lvl w:ilvl="0" w:tplc="DE60CD4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D2D87"/>
    <w:multiLevelType w:val="hybridMultilevel"/>
    <w:tmpl w:val="80FEF558"/>
    <w:lvl w:ilvl="0" w:tplc="DE60CD4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952C6"/>
    <w:multiLevelType w:val="hybridMultilevel"/>
    <w:tmpl w:val="5ABAF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652C1"/>
    <w:multiLevelType w:val="hybridMultilevel"/>
    <w:tmpl w:val="0ED2F8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34DEA"/>
    <w:multiLevelType w:val="hybridMultilevel"/>
    <w:tmpl w:val="B5C00E12"/>
    <w:lvl w:ilvl="0" w:tplc="DE60CD4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C767D"/>
    <w:multiLevelType w:val="hybridMultilevel"/>
    <w:tmpl w:val="49E432E8"/>
    <w:lvl w:ilvl="0" w:tplc="0C22BFC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245A0"/>
    <w:multiLevelType w:val="hybridMultilevel"/>
    <w:tmpl w:val="84289B44"/>
    <w:lvl w:ilvl="0" w:tplc="DE60CD4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C6867"/>
    <w:multiLevelType w:val="hybridMultilevel"/>
    <w:tmpl w:val="F2C4D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111E7"/>
    <w:multiLevelType w:val="hybridMultilevel"/>
    <w:tmpl w:val="D6ECC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46F3A"/>
    <w:multiLevelType w:val="hybridMultilevel"/>
    <w:tmpl w:val="8DF80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779E0"/>
    <w:multiLevelType w:val="hybridMultilevel"/>
    <w:tmpl w:val="72CA330A"/>
    <w:lvl w:ilvl="0" w:tplc="DACC72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5BA5"/>
    <w:rsid w:val="00020461"/>
    <w:rsid w:val="0005251A"/>
    <w:rsid w:val="000B0CE9"/>
    <w:rsid w:val="000B1FE1"/>
    <w:rsid w:val="000C0518"/>
    <w:rsid w:val="001003D3"/>
    <w:rsid w:val="001106C0"/>
    <w:rsid w:val="001531EC"/>
    <w:rsid w:val="00181FEA"/>
    <w:rsid w:val="001D246F"/>
    <w:rsid w:val="001E33D0"/>
    <w:rsid w:val="001F0546"/>
    <w:rsid w:val="00255D12"/>
    <w:rsid w:val="00270C72"/>
    <w:rsid w:val="0028600E"/>
    <w:rsid w:val="002F4125"/>
    <w:rsid w:val="00354354"/>
    <w:rsid w:val="003803B9"/>
    <w:rsid w:val="00400E8B"/>
    <w:rsid w:val="00445FB4"/>
    <w:rsid w:val="00495284"/>
    <w:rsid w:val="004F6F7D"/>
    <w:rsid w:val="00512308"/>
    <w:rsid w:val="005B23CA"/>
    <w:rsid w:val="005B6866"/>
    <w:rsid w:val="005C1928"/>
    <w:rsid w:val="005D5E1D"/>
    <w:rsid w:val="00634D27"/>
    <w:rsid w:val="00634D7F"/>
    <w:rsid w:val="00635773"/>
    <w:rsid w:val="00652EA9"/>
    <w:rsid w:val="00664809"/>
    <w:rsid w:val="00673485"/>
    <w:rsid w:val="006A6698"/>
    <w:rsid w:val="006E09EB"/>
    <w:rsid w:val="006E3F3B"/>
    <w:rsid w:val="007139D2"/>
    <w:rsid w:val="00715ED8"/>
    <w:rsid w:val="00732B2F"/>
    <w:rsid w:val="00747FE8"/>
    <w:rsid w:val="00776D20"/>
    <w:rsid w:val="007961CE"/>
    <w:rsid w:val="007A7B46"/>
    <w:rsid w:val="007B52AE"/>
    <w:rsid w:val="007E0223"/>
    <w:rsid w:val="008104C1"/>
    <w:rsid w:val="00813877"/>
    <w:rsid w:val="00825BA5"/>
    <w:rsid w:val="008C1768"/>
    <w:rsid w:val="008E2A10"/>
    <w:rsid w:val="009042E6"/>
    <w:rsid w:val="00940524"/>
    <w:rsid w:val="009619EB"/>
    <w:rsid w:val="00962583"/>
    <w:rsid w:val="00A02A04"/>
    <w:rsid w:val="00A36D5B"/>
    <w:rsid w:val="00A9088F"/>
    <w:rsid w:val="00A9667D"/>
    <w:rsid w:val="00AD07F1"/>
    <w:rsid w:val="00AF6F00"/>
    <w:rsid w:val="00BD03B1"/>
    <w:rsid w:val="00C24985"/>
    <w:rsid w:val="00C358D6"/>
    <w:rsid w:val="00CA2DD3"/>
    <w:rsid w:val="00CC7562"/>
    <w:rsid w:val="00CD340A"/>
    <w:rsid w:val="00CF4662"/>
    <w:rsid w:val="00D12A7C"/>
    <w:rsid w:val="00D661AB"/>
    <w:rsid w:val="00D915E5"/>
    <w:rsid w:val="00E032ED"/>
    <w:rsid w:val="00E21FD1"/>
    <w:rsid w:val="00E31589"/>
    <w:rsid w:val="00E324BE"/>
    <w:rsid w:val="00E76D92"/>
    <w:rsid w:val="00E86201"/>
    <w:rsid w:val="00E9503E"/>
    <w:rsid w:val="00F10236"/>
    <w:rsid w:val="00F1695D"/>
    <w:rsid w:val="00F32309"/>
    <w:rsid w:val="00FA0423"/>
    <w:rsid w:val="00FA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2308"/>
    <w:pPr>
      <w:ind w:left="720"/>
      <w:contextualSpacing/>
    </w:pPr>
  </w:style>
  <w:style w:type="table" w:styleId="Reetkatablice">
    <w:name w:val="Table Grid"/>
    <w:basedOn w:val="Obinatablica"/>
    <w:uiPriority w:val="59"/>
    <w:rsid w:val="0044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324B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B0C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magbicro.hr/potpore/otvoreni-javni-pozivi-2/jacanje-konkurentnosti-usluznih-djelat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1843B-8164-46CC-9816-37AC3A1D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Prister</dc:creator>
  <cp:keywords/>
  <dc:description/>
  <cp:lastModifiedBy>Darko Prister</cp:lastModifiedBy>
  <cp:revision>19</cp:revision>
  <cp:lastPrinted>2014-02-24T10:10:00Z</cp:lastPrinted>
  <dcterms:created xsi:type="dcterms:W3CDTF">2015-03-09T14:18:00Z</dcterms:created>
  <dcterms:modified xsi:type="dcterms:W3CDTF">2015-03-10T11:09:00Z</dcterms:modified>
</cp:coreProperties>
</file>